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82" w:firstLineChars="200"/>
        <w:rPr>
          <w:rFonts w:hint="eastAsia" w:ascii="仿宋" w:hAnsi="仿宋" w:eastAsia="仿宋" w:cs="宋体"/>
          <w:b/>
        </w:rPr>
      </w:pPr>
      <w:r>
        <w:rPr>
          <w:rFonts w:hint="eastAsia" w:ascii="仿宋" w:hAnsi="仿宋" w:eastAsia="仿宋" w:cs="宋体"/>
          <w:b/>
        </w:rPr>
        <w:t>（一）</w:t>
      </w:r>
      <w:r>
        <w:rPr>
          <w:rFonts w:ascii="仿宋" w:hAnsi="仿宋" w:eastAsia="仿宋" w:cs="宋体"/>
          <w:b/>
        </w:rPr>
        <w:t>采购项目需求一览表</w:t>
      </w:r>
      <w:r>
        <w:rPr>
          <w:rFonts w:hint="eastAsia" w:ascii="仿宋" w:hAnsi="仿宋" w:eastAsia="仿宋" w:cs="宋体"/>
          <w:b/>
        </w:rPr>
        <w:t>：</w:t>
      </w:r>
    </w:p>
    <w:tbl>
      <w:tblPr>
        <w:tblStyle w:val="2"/>
        <w:tblW w:w="9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492"/>
        <w:gridCol w:w="1276"/>
        <w:gridCol w:w="1842"/>
        <w:gridCol w:w="705"/>
        <w:gridCol w:w="1280"/>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8" w:type="dxa"/>
            <w:noWrap w:val="0"/>
            <w:vAlign w:val="center"/>
          </w:tcPr>
          <w:p>
            <w:pPr>
              <w:spacing w:line="460" w:lineRule="exact"/>
              <w:jc w:val="center"/>
              <w:rPr>
                <w:rFonts w:hint="eastAsia" w:ascii="仿宋" w:hAnsi="仿宋" w:eastAsia="仿宋"/>
                <w:b/>
                <w:highlight w:val="none"/>
                <w:lang w:eastAsia="zh-CN"/>
              </w:rPr>
            </w:pPr>
            <w:r>
              <w:rPr>
                <w:rFonts w:hint="eastAsia" w:ascii="仿宋" w:hAnsi="仿宋" w:eastAsia="仿宋"/>
                <w:b/>
                <w:highlight w:val="none"/>
                <w:lang w:eastAsia="zh-CN"/>
              </w:rPr>
              <w:t>序号</w:t>
            </w:r>
          </w:p>
        </w:tc>
        <w:tc>
          <w:tcPr>
            <w:tcW w:w="2492" w:type="dxa"/>
            <w:noWrap w:val="0"/>
            <w:vAlign w:val="center"/>
          </w:tcPr>
          <w:p>
            <w:pPr>
              <w:spacing w:line="460" w:lineRule="exact"/>
              <w:jc w:val="center"/>
              <w:rPr>
                <w:rFonts w:hint="eastAsia" w:ascii="仿宋" w:hAnsi="仿宋" w:eastAsia="仿宋"/>
                <w:b/>
                <w:highlight w:val="none"/>
              </w:rPr>
            </w:pPr>
            <w:r>
              <w:rPr>
                <w:rFonts w:hint="eastAsia" w:ascii="仿宋" w:hAnsi="仿宋" w:eastAsia="仿宋"/>
                <w:b/>
                <w:highlight w:val="none"/>
              </w:rPr>
              <w:t>名称</w:t>
            </w:r>
          </w:p>
        </w:tc>
        <w:tc>
          <w:tcPr>
            <w:tcW w:w="1276" w:type="dxa"/>
            <w:noWrap w:val="0"/>
            <w:vAlign w:val="center"/>
          </w:tcPr>
          <w:p>
            <w:pPr>
              <w:spacing w:line="360" w:lineRule="exact"/>
              <w:jc w:val="center"/>
              <w:rPr>
                <w:rFonts w:hint="eastAsia" w:ascii="仿宋" w:hAnsi="仿宋" w:eastAsia="仿宋"/>
                <w:b/>
                <w:highlight w:val="none"/>
              </w:rPr>
            </w:pPr>
            <w:r>
              <w:rPr>
                <w:rFonts w:hint="eastAsia" w:ascii="仿宋" w:hAnsi="仿宋" w:eastAsia="仿宋"/>
                <w:b/>
                <w:highlight w:val="none"/>
              </w:rPr>
              <w:t>品牌</w:t>
            </w:r>
          </w:p>
        </w:tc>
        <w:tc>
          <w:tcPr>
            <w:tcW w:w="1842" w:type="dxa"/>
            <w:noWrap w:val="0"/>
            <w:vAlign w:val="center"/>
          </w:tcPr>
          <w:p>
            <w:pPr>
              <w:spacing w:line="360" w:lineRule="exact"/>
              <w:jc w:val="center"/>
              <w:rPr>
                <w:rFonts w:hint="eastAsia" w:ascii="仿宋" w:hAnsi="仿宋" w:eastAsia="仿宋"/>
                <w:b/>
                <w:highlight w:val="none"/>
              </w:rPr>
            </w:pPr>
            <w:r>
              <w:rPr>
                <w:rFonts w:hint="eastAsia" w:ascii="仿宋" w:hAnsi="仿宋" w:eastAsia="仿宋" w:cs="仿宋"/>
                <w:b/>
                <w:color w:val="000000"/>
                <w:highlight w:val="none"/>
              </w:rPr>
              <w:t>规格型号</w:t>
            </w:r>
          </w:p>
        </w:tc>
        <w:tc>
          <w:tcPr>
            <w:tcW w:w="705" w:type="dxa"/>
            <w:noWrap w:val="0"/>
            <w:vAlign w:val="center"/>
          </w:tcPr>
          <w:p>
            <w:pPr>
              <w:spacing w:line="460" w:lineRule="exact"/>
              <w:jc w:val="center"/>
              <w:rPr>
                <w:rFonts w:hint="eastAsia" w:ascii="仿宋" w:hAnsi="仿宋" w:eastAsia="仿宋"/>
                <w:b/>
                <w:highlight w:val="none"/>
              </w:rPr>
            </w:pPr>
            <w:r>
              <w:rPr>
                <w:rFonts w:hint="eastAsia" w:ascii="仿宋" w:hAnsi="仿宋" w:eastAsia="仿宋" w:cs="仿宋"/>
                <w:b/>
                <w:color w:val="000000"/>
                <w:highlight w:val="none"/>
              </w:rPr>
              <w:t>单位</w:t>
            </w:r>
          </w:p>
        </w:tc>
        <w:tc>
          <w:tcPr>
            <w:tcW w:w="1280" w:type="dxa"/>
            <w:noWrap w:val="0"/>
            <w:vAlign w:val="center"/>
          </w:tcPr>
          <w:p>
            <w:pPr>
              <w:spacing w:line="460" w:lineRule="exact"/>
              <w:jc w:val="center"/>
              <w:rPr>
                <w:rFonts w:hint="eastAsia" w:ascii="仿宋" w:hAnsi="仿宋" w:eastAsia="仿宋"/>
                <w:b/>
                <w:highlight w:val="none"/>
              </w:rPr>
            </w:pPr>
            <w:r>
              <w:rPr>
                <w:rFonts w:hint="eastAsia" w:ascii="仿宋" w:hAnsi="仿宋" w:eastAsia="仿宋"/>
                <w:b/>
                <w:highlight w:val="none"/>
              </w:rPr>
              <w:t>服务年限</w:t>
            </w:r>
          </w:p>
        </w:tc>
        <w:tc>
          <w:tcPr>
            <w:tcW w:w="1372" w:type="dxa"/>
            <w:noWrap w:val="0"/>
            <w:vAlign w:val="center"/>
          </w:tcPr>
          <w:p>
            <w:pPr>
              <w:spacing w:line="460" w:lineRule="exact"/>
              <w:jc w:val="center"/>
              <w:rPr>
                <w:rFonts w:hint="eastAsia" w:ascii="仿宋" w:hAnsi="仿宋" w:eastAsia="仿宋"/>
                <w:b/>
                <w:highlight w:val="none"/>
                <w:lang w:eastAsia="zh-CN"/>
              </w:rPr>
            </w:pPr>
            <w:r>
              <w:rPr>
                <w:rFonts w:hint="eastAsia" w:ascii="仿宋" w:hAnsi="仿宋" w:eastAsia="仿宋"/>
                <w:b/>
                <w:highlight w:val="none"/>
              </w:rPr>
              <w:t>最高限价</w:t>
            </w:r>
            <w:r>
              <w:rPr>
                <w:rFonts w:hint="eastAsia" w:ascii="仿宋" w:hAnsi="仿宋" w:eastAsia="仿宋"/>
                <w:b/>
                <w:highlight w:val="none"/>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8" w:type="dxa"/>
            <w:noWrap w:val="0"/>
            <w:vAlign w:val="center"/>
          </w:tcPr>
          <w:p>
            <w:pPr>
              <w:spacing w:line="460" w:lineRule="exact"/>
              <w:jc w:val="center"/>
              <w:rPr>
                <w:rFonts w:hint="eastAsia" w:ascii="仿宋" w:hAnsi="仿宋" w:eastAsia="仿宋"/>
                <w:highlight w:val="none"/>
                <w:lang w:val="en-US" w:eastAsia="zh-CN"/>
              </w:rPr>
            </w:pPr>
            <w:r>
              <w:rPr>
                <w:rFonts w:hint="eastAsia" w:ascii="仿宋" w:hAnsi="仿宋" w:eastAsia="仿宋"/>
                <w:highlight w:val="none"/>
                <w:lang w:val="en-US" w:eastAsia="zh-CN"/>
              </w:rPr>
              <w:t>1</w:t>
            </w:r>
          </w:p>
        </w:tc>
        <w:tc>
          <w:tcPr>
            <w:tcW w:w="2492" w:type="dxa"/>
            <w:noWrap w:val="0"/>
            <w:vAlign w:val="center"/>
          </w:tcPr>
          <w:p>
            <w:pPr>
              <w:spacing w:line="460" w:lineRule="exact"/>
              <w:jc w:val="center"/>
              <w:rPr>
                <w:rFonts w:hint="eastAsia" w:ascii="仿宋" w:hAnsi="仿宋" w:eastAsia="仿宋"/>
                <w:highlight w:val="none"/>
              </w:rPr>
            </w:pPr>
            <w:r>
              <w:rPr>
                <w:rFonts w:hint="eastAsia" w:ascii="仿宋" w:hAnsi="仿宋" w:eastAsia="仿宋" w:cs="仿宋"/>
                <w:highlight w:val="none"/>
              </w:rPr>
              <w:t>全自动凝血分析仪</w:t>
            </w:r>
          </w:p>
        </w:tc>
        <w:tc>
          <w:tcPr>
            <w:tcW w:w="1276" w:type="dxa"/>
            <w:noWrap w:val="0"/>
            <w:vAlign w:val="center"/>
          </w:tcPr>
          <w:p>
            <w:pPr>
              <w:spacing w:line="360" w:lineRule="exact"/>
              <w:jc w:val="center"/>
              <w:rPr>
                <w:rFonts w:hint="eastAsia" w:ascii="仿宋" w:hAnsi="仿宋" w:eastAsia="仿宋"/>
                <w:highlight w:val="none"/>
              </w:rPr>
            </w:pPr>
            <w:r>
              <w:rPr>
                <w:rFonts w:hint="eastAsia" w:ascii="仿宋" w:hAnsi="仿宋" w:eastAsia="仿宋" w:cs="仿宋"/>
                <w:color w:val="000000"/>
                <w:highlight w:val="none"/>
              </w:rPr>
              <w:t>法国思塔高</w:t>
            </w:r>
          </w:p>
        </w:tc>
        <w:tc>
          <w:tcPr>
            <w:tcW w:w="1842" w:type="dxa"/>
            <w:noWrap w:val="0"/>
            <w:vAlign w:val="center"/>
          </w:tcPr>
          <w:p>
            <w:pPr>
              <w:spacing w:line="360" w:lineRule="exact"/>
              <w:jc w:val="center"/>
              <w:rPr>
                <w:rFonts w:hint="eastAsia" w:ascii="仿宋" w:hAnsi="仿宋" w:eastAsia="仿宋" w:cs="仿宋"/>
                <w:highlight w:val="none"/>
              </w:rPr>
            </w:pPr>
            <w:r>
              <w:rPr>
                <w:rFonts w:hint="eastAsia" w:ascii="仿宋" w:hAnsi="仿宋" w:eastAsia="仿宋" w:cs="仿宋"/>
                <w:color w:val="000000"/>
                <w:highlight w:val="none"/>
              </w:rPr>
              <w:t>STACOMPACT</w:t>
            </w:r>
          </w:p>
        </w:tc>
        <w:tc>
          <w:tcPr>
            <w:tcW w:w="705" w:type="dxa"/>
            <w:noWrap w:val="0"/>
            <w:vAlign w:val="center"/>
          </w:tcPr>
          <w:p>
            <w:pPr>
              <w:spacing w:line="460" w:lineRule="exact"/>
              <w:jc w:val="center"/>
              <w:rPr>
                <w:rFonts w:hint="eastAsia" w:ascii="仿宋" w:hAnsi="仿宋" w:eastAsia="仿宋" w:cs="仿宋"/>
                <w:highlight w:val="none"/>
              </w:rPr>
            </w:pPr>
            <w:r>
              <w:rPr>
                <w:rFonts w:hint="eastAsia" w:ascii="仿宋" w:hAnsi="仿宋" w:eastAsia="仿宋" w:cs="仿宋"/>
                <w:highlight w:val="none"/>
              </w:rPr>
              <w:t>年</w:t>
            </w:r>
          </w:p>
        </w:tc>
        <w:tc>
          <w:tcPr>
            <w:tcW w:w="1280" w:type="dxa"/>
            <w:noWrap w:val="0"/>
            <w:vAlign w:val="center"/>
          </w:tcPr>
          <w:p>
            <w:pPr>
              <w:spacing w:line="460" w:lineRule="exact"/>
              <w:jc w:val="center"/>
              <w:rPr>
                <w:rFonts w:hint="eastAsia" w:ascii="仿宋" w:hAnsi="仿宋" w:eastAsia="仿宋"/>
                <w:highlight w:val="none"/>
                <w:lang w:eastAsia="zh-CN"/>
              </w:rPr>
            </w:pPr>
            <w:r>
              <w:rPr>
                <w:rFonts w:hint="eastAsia" w:ascii="仿宋" w:hAnsi="仿宋" w:eastAsia="仿宋"/>
                <w:highlight w:val="none"/>
                <w:lang w:val="en-US" w:eastAsia="zh-CN"/>
              </w:rPr>
              <w:t>2</w:t>
            </w:r>
          </w:p>
        </w:tc>
        <w:tc>
          <w:tcPr>
            <w:tcW w:w="1372" w:type="dxa"/>
            <w:noWrap w:val="0"/>
            <w:vAlign w:val="center"/>
          </w:tcPr>
          <w:p>
            <w:pPr>
              <w:spacing w:line="460" w:lineRule="exact"/>
              <w:jc w:val="center"/>
              <w:rPr>
                <w:rFonts w:hint="default" w:ascii="仿宋" w:hAnsi="仿宋" w:eastAsia="仿宋"/>
                <w:b/>
                <w:highlight w:val="none"/>
                <w:lang w:val="en-US" w:eastAsia="zh-CN"/>
              </w:rPr>
            </w:pPr>
            <w:r>
              <w:rPr>
                <w:rFonts w:hint="eastAsia" w:ascii="仿宋" w:hAnsi="仿宋" w:eastAsia="仿宋"/>
                <w:b/>
                <w:highlight w:val="none"/>
                <w:lang w:val="en-US" w:eastAsia="zh-CN"/>
              </w:rPr>
              <w:t>7.9332万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925" w:type="dxa"/>
            <w:gridSpan w:val="7"/>
            <w:noWrap w:val="0"/>
            <w:vAlign w:val="center"/>
          </w:tcPr>
          <w:p>
            <w:pPr>
              <w:spacing w:line="460" w:lineRule="exact"/>
              <w:jc w:val="left"/>
              <w:rPr>
                <w:rFonts w:hint="eastAsia" w:ascii="仿宋" w:hAnsi="仿宋" w:eastAsia="仿宋"/>
                <w:b/>
                <w:highlight w:val="none"/>
              </w:rPr>
            </w:pPr>
            <w:r>
              <w:rPr>
                <w:rFonts w:ascii="宋体" w:hAnsi="宋体" w:cs="宋体"/>
                <w:kern w:val="0"/>
                <w:sz w:val="24"/>
                <w:highlight w:val="none"/>
                <w:lang w:bidi="ar"/>
              </w:rPr>
              <w:t>备注：投标人在投标报价中，单项设备</w:t>
            </w:r>
            <w:r>
              <w:rPr>
                <w:rFonts w:hint="eastAsia" w:ascii="宋体" w:hAnsi="宋体" w:cs="宋体"/>
                <w:kern w:val="0"/>
                <w:sz w:val="24"/>
                <w:highlight w:val="none"/>
                <w:lang w:eastAsia="zh-CN" w:bidi="ar"/>
              </w:rPr>
              <w:t>维保</w:t>
            </w:r>
            <w:r>
              <w:rPr>
                <w:rFonts w:ascii="宋体" w:hAnsi="宋体" w:cs="宋体"/>
                <w:kern w:val="0"/>
                <w:sz w:val="24"/>
                <w:highlight w:val="none"/>
                <w:lang w:bidi="ar"/>
              </w:rPr>
              <w:t>投标报价不得超出单项设备</w:t>
            </w:r>
            <w:r>
              <w:rPr>
                <w:rFonts w:hint="eastAsia" w:ascii="宋体" w:hAnsi="宋体" w:cs="宋体"/>
                <w:kern w:val="0"/>
                <w:sz w:val="24"/>
                <w:highlight w:val="none"/>
                <w:lang w:eastAsia="zh-CN" w:bidi="ar"/>
              </w:rPr>
              <w:t>维保</w:t>
            </w:r>
            <w:r>
              <w:rPr>
                <w:rFonts w:ascii="宋体" w:hAnsi="宋体" w:cs="宋体"/>
                <w:kern w:val="0"/>
                <w:sz w:val="24"/>
                <w:highlight w:val="none"/>
                <w:lang w:bidi="ar"/>
              </w:rPr>
              <w:t>最高限价，其投标时的单项设备总金额应包含实际实施所引发的一切费用，包含安装费、运输费、保险费、装卸费、零配件、标配工具、商检费、税费等。若有超出单项设备最高限价的，视为无效投标处理。</w:t>
            </w:r>
          </w:p>
        </w:tc>
      </w:tr>
    </w:tbl>
    <w:p>
      <w:pPr>
        <w:spacing w:line="440" w:lineRule="exact"/>
        <w:ind w:firstLine="482" w:firstLineChars="200"/>
        <w:rPr>
          <w:rFonts w:hint="eastAsia" w:ascii="仿宋" w:hAnsi="仿宋" w:eastAsia="仿宋" w:cs="宋体"/>
          <w:b/>
        </w:rPr>
      </w:pPr>
    </w:p>
    <w:p>
      <w:pPr>
        <w:spacing w:line="440" w:lineRule="exact"/>
        <w:ind w:firstLine="480" w:firstLineChars="200"/>
        <w:rPr>
          <w:rFonts w:hint="eastAsia" w:ascii="仿宋" w:hAnsi="仿宋" w:eastAsia="仿宋" w:cs="宋体"/>
        </w:rPr>
      </w:pPr>
    </w:p>
    <w:p>
      <w:pPr>
        <w:spacing w:line="440" w:lineRule="exact"/>
        <w:ind w:firstLine="482" w:firstLineChars="200"/>
        <w:rPr>
          <w:rFonts w:hint="eastAsia" w:ascii="仿宋" w:hAnsi="仿宋" w:eastAsia="仿宋" w:cs="宋体"/>
          <w:b/>
        </w:rPr>
      </w:pPr>
      <w:r>
        <w:rPr>
          <w:rFonts w:hint="eastAsia" w:ascii="仿宋" w:hAnsi="仿宋" w:eastAsia="仿宋" w:cs="宋体"/>
          <w:b/>
        </w:rPr>
        <w:t>全自动凝血分析仪</w:t>
      </w:r>
    </w:p>
    <w:tbl>
      <w:tblPr>
        <w:tblStyle w:val="2"/>
        <w:tblW w:w="0" w:type="auto"/>
        <w:jc w:val="center"/>
        <w:tblLayout w:type="fixed"/>
        <w:tblCellMar>
          <w:top w:w="15" w:type="dxa"/>
          <w:left w:w="15" w:type="dxa"/>
          <w:bottom w:w="15" w:type="dxa"/>
          <w:right w:w="15" w:type="dxa"/>
        </w:tblCellMar>
      </w:tblPr>
      <w:tblGrid>
        <w:gridCol w:w="1054"/>
        <w:gridCol w:w="1849"/>
        <w:gridCol w:w="1094"/>
        <w:gridCol w:w="1454"/>
        <w:gridCol w:w="992"/>
        <w:gridCol w:w="1276"/>
        <w:gridCol w:w="1276"/>
      </w:tblGrid>
      <w:tr>
        <w:tblPrEx>
          <w:tblCellMar>
            <w:top w:w="15" w:type="dxa"/>
            <w:left w:w="15" w:type="dxa"/>
            <w:bottom w:w="15" w:type="dxa"/>
            <w:right w:w="15" w:type="dxa"/>
          </w:tblCellMar>
        </w:tblPrEx>
        <w:trPr>
          <w:trHeight w:val="745"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使用科室</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firstLine="422" w:firstLineChars="200"/>
              <w:rPr>
                <w:rFonts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品牌</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规格型号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序列号</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firstLine="211" w:firstLineChars="100"/>
              <w:rPr>
                <w:rFonts w:ascii="仿宋" w:hAnsi="仿宋" w:eastAsia="仿宋" w:cs="仿宋"/>
                <w:b/>
                <w:bCs/>
                <w:color w:val="000000"/>
                <w:sz w:val="21"/>
                <w:szCs w:val="21"/>
              </w:rPr>
            </w:pPr>
            <w:r>
              <w:rPr>
                <w:rFonts w:hint="eastAsia" w:ascii="仿宋" w:hAnsi="仿宋" w:eastAsia="仿宋" w:cs="仿宋"/>
                <w:b/>
                <w:bCs/>
                <w:color w:val="000000"/>
                <w:sz w:val="21"/>
                <w:szCs w:val="21"/>
              </w:rPr>
              <w:t>服务期限</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最高限价</w:t>
            </w:r>
          </w:p>
          <w:p>
            <w:pPr>
              <w:spacing w:line="460" w:lineRule="exact"/>
              <w:jc w:val="center"/>
              <w:rPr>
                <w:rFonts w:ascii="仿宋" w:hAnsi="仿宋" w:eastAsia="仿宋" w:cs="仿宋"/>
                <w:b/>
                <w:bCs/>
                <w:color w:val="000000"/>
                <w:sz w:val="21"/>
                <w:szCs w:val="21"/>
              </w:rPr>
            </w:pPr>
            <w:r>
              <w:rPr>
                <w:rFonts w:hint="eastAsia" w:ascii="仿宋" w:hAnsi="仿宋" w:eastAsia="仿宋" w:cs="仿宋"/>
                <w:b/>
                <w:bCs/>
                <w:color w:val="000000"/>
                <w:sz w:val="21"/>
                <w:szCs w:val="21"/>
              </w:rPr>
              <w:t>(万元)</w:t>
            </w:r>
          </w:p>
        </w:tc>
      </w:tr>
      <w:tr>
        <w:tblPrEx>
          <w:tblCellMar>
            <w:top w:w="15" w:type="dxa"/>
            <w:left w:w="15" w:type="dxa"/>
            <w:bottom w:w="15" w:type="dxa"/>
            <w:right w:w="15" w:type="dxa"/>
          </w:tblCellMar>
        </w:tblPrEx>
        <w:trPr>
          <w:trHeight w:val="957" w:hRule="atLeast"/>
          <w:jc w:val="center"/>
        </w:trPr>
        <w:tc>
          <w:tcPr>
            <w:tcW w:w="1054"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检验科</w:t>
            </w:r>
          </w:p>
        </w:tc>
        <w:tc>
          <w:tcPr>
            <w:tcW w:w="1849"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rPr>
                <w:rFonts w:ascii="仿宋" w:hAnsi="仿宋" w:eastAsia="仿宋" w:cs="仿宋"/>
                <w:color w:val="000000"/>
                <w:sz w:val="21"/>
                <w:szCs w:val="21"/>
              </w:rPr>
            </w:pPr>
            <w:r>
              <w:rPr>
                <w:rFonts w:hint="eastAsia" w:ascii="仿宋" w:hAnsi="仿宋" w:eastAsia="仿宋" w:cs="仿宋"/>
                <w:color w:val="000000"/>
                <w:sz w:val="21"/>
                <w:szCs w:val="21"/>
              </w:rPr>
              <w:t>全自动凝血分析仪</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法国思塔高</w:t>
            </w:r>
          </w:p>
        </w:tc>
        <w:tc>
          <w:tcPr>
            <w:tcW w:w="1454"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firstLine="210" w:firstLineChars="100"/>
              <w:rPr>
                <w:rFonts w:ascii="仿宋" w:hAnsi="仿宋" w:eastAsia="仿宋" w:cs="仿宋"/>
                <w:color w:val="000000"/>
                <w:sz w:val="21"/>
                <w:szCs w:val="21"/>
              </w:rPr>
            </w:pPr>
            <w:r>
              <w:rPr>
                <w:rFonts w:hint="eastAsia" w:ascii="仿宋" w:hAnsi="仿宋" w:eastAsia="仿宋" w:cs="仿宋"/>
                <w:color w:val="000000"/>
                <w:sz w:val="21"/>
                <w:szCs w:val="21"/>
              </w:rPr>
              <w:t>STACOMPACT</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2553</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firstLine="420" w:firstLineChars="200"/>
              <w:rPr>
                <w:rFonts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年</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460" w:lineRule="exact"/>
              <w:ind w:firstLine="210" w:firstLineChars="100"/>
              <w:rPr>
                <w:rFonts w:ascii="仿宋" w:hAnsi="仿宋" w:eastAsia="仿宋" w:cs="仿宋"/>
                <w:color w:val="000000"/>
                <w:sz w:val="21"/>
                <w:szCs w:val="21"/>
              </w:rPr>
            </w:pPr>
            <w:r>
              <w:rPr>
                <w:rFonts w:hint="eastAsia" w:ascii="仿宋" w:hAnsi="仿宋" w:eastAsia="仿宋" w:cs="仿宋"/>
                <w:color w:val="000000"/>
                <w:sz w:val="21"/>
                <w:szCs w:val="21"/>
                <w:lang w:val="en-US" w:eastAsia="zh-CN"/>
              </w:rPr>
              <w:t>7.9332</w:t>
            </w:r>
            <w:r>
              <w:rPr>
                <w:rFonts w:hint="eastAsia" w:ascii="仿宋" w:hAnsi="仿宋" w:eastAsia="仿宋" w:cs="仿宋"/>
                <w:color w:val="000000"/>
                <w:sz w:val="21"/>
                <w:szCs w:val="21"/>
              </w:rPr>
              <w:t>万</w:t>
            </w:r>
          </w:p>
        </w:tc>
      </w:tr>
    </w:tbl>
    <w:p>
      <w:pPr>
        <w:spacing w:line="440" w:lineRule="exact"/>
        <w:ind w:firstLine="480" w:firstLineChars="200"/>
        <w:rPr>
          <w:rFonts w:hint="eastAsia" w:ascii="仿宋" w:hAnsi="仿宋" w:eastAsia="仿宋" w:cs="宋体"/>
        </w:rPr>
      </w:pPr>
      <w:r>
        <w:rPr>
          <w:rFonts w:hint="eastAsia" w:ascii="仿宋" w:hAnsi="仿宋" w:eastAsia="仿宋" w:cs="宋体"/>
        </w:rPr>
        <w:t>1、维修保养服务</w:t>
      </w:r>
    </w:p>
    <w:p>
      <w:pPr>
        <w:spacing w:line="440" w:lineRule="exact"/>
        <w:ind w:firstLine="480" w:firstLineChars="200"/>
        <w:rPr>
          <w:rFonts w:hint="eastAsia" w:ascii="仿宋" w:hAnsi="仿宋" w:eastAsia="仿宋" w:cs="宋体"/>
        </w:rPr>
      </w:pPr>
      <w:r>
        <w:rPr>
          <w:rFonts w:hint="eastAsia" w:ascii="仿宋" w:hAnsi="仿宋" w:eastAsia="仿宋" w:cs="宋体"/>
        </w:rPr>
        <w:t>（1）中标人须承诺在本项目维修保养服务范围内出现影响仪器的事故，则依据事故性质，提供7天24小时全天候在线技术支持、操作指导、故障排除等所有协助；故障无法解决中标人派遣一名技术人员到用户的操作现场，使仪器正常运转，相关费用均由中标人承担。在更换零件送达用户，但思塔高技术人员不在场的情况下，用户须严格按照思塔高的说明安装上述更换零件。</w:t>
      </w:r>
    </w:p>
    <w:p>
      <w:pPr>
        <w:spacing w:line="440" w:lineRule="exact"/>
        <w:ind w:firstLine="480" w:firstLineChars="200"/>
        <w:rPr>
          <w:rFonts w:hint="eastAsia" w:ascii="仿宋" w:hAnsi="仿宋" w:eastAsia="仿宋" w:cs="宋体"/>
        </w:rPr>
      </w:pPr>
      <w:r>
        <w:rPr>
          <w:rFonts w:hint="eastAsia" w:ascii="仿宋" w:hAnsi="仿宋" w:eastAsia="仿宋" w:cs="宋体"/>
        </w:rPr>
        <w:t>（2）响应时间：中标人在接到用户要求协助的通知后2个小时内响应，响应方式为向用户告知任何已确定的仪器故障原因和可能解决上述故障问题的方案。若通过热线服务仍无法排除故障，中标人应在接到用户要求协助的通知后</w:t>
      </w:r>
      <w:r>
        <w:rPr>
          <w:rFonts w:hint="eastAsia" w:ascii="仿宋" w:hAnsi="仿宋" w:eastAsia="仿宋" w:cs="宋体"/>
          <w:lang w:val="en-US" w:eastAsia="zh-CN"/>
        </w:rPr>
        <w:t>12</w:t>
      </w:r>
      <w:r>
        <w:rPr>
          <w:rFonts w:hint="eastAsia" w:ascii="仿宋" w:hAnsi="仿宋" w:eastAsia="仿宋" w:cs="宋体"/>
        </w:rPr>
        <w:t>小时内安排技术人员上门排除故障。一旦中标人向用户告知上门维护的具体时间，用户应采取一切必要步骤和措施，以便于约定的维护时间进行维修保养服务。</w:t>
      </w:r>
    </w:p>
    <w:p>
      <w:pPr>
        <w:spacing w:line="440" w:lineRule="exact"/>
        <w:ind w:firstLine="480" w:firstLineChars="200"/>
        <w:rPr>
          <w:rFonts w:hint="eastAsia" w:ascii="仿宋" w:hAnsi="仿宋" w:eastAsia="仿宋" w:cs="宋体"/>
        </w:rPr>
      </w:pPr>
      <w:r>
        <w:rPr>
          <w:rFonts w:hint="eastAsia" w:ascii="仿宋" w:hAnsi="仿宋" w:eastAsia="仿宋" w:cs="宋体"/>
        </w:rPr>
        <w:t>（3）维修时间：在技术人员上门排除故障的情况下，中标人承诺零件已在用户现场备妥后</w:t>
      </w:r>
      <w:r>
        <w:rPr>
          <w:rFonts w:hint="eastAsia" w:ascii="仿宋" w:hAnsi="仿宋" w:eastAsia="仿宋" w:cs="宋体"/>
          <w:lang w:val="en-US" w:eastAsia="zh-CN"/>
        </w:rPr>
        <w:t>12</w:t>
      </w:r>
      <w:r>
        <w:rPr>
          <w:rFonts w:hint="eastAsia" w:ascii="仿宋" w:hAnsi="仿宋" w:eastAsia="仿宋" w:cs="宋体"/>
        </w:rPr>
        <w:t>小时内维修完仪器。维修时间的任何延长将导致本项目服务期延长相同的时间。</w:t>
      </w:r>
    </w:p>
    <w:p>
      <w:pPr>
        <w:spacing w:line="440" w:lineRule="exact"/>
        <w:ind w:firstLine="480" w:firstLineChars="200"/>
        <w:rPr>
          <w:rFonts w:hint="eastAsia" w:ascii="仿宋" w:hAnsi="仿宋" w:eastAsia="仿宋" w:cs="宋体"/>
        </w:rPr>
      </w:pPr>
      <w:r>
        <w:rPr>
          <w:rFonts w:hint="eastAsia" w:ascii="宋体" w:hAnsi="宋体" w:cs="宋体"/>
        </w:rPr>
        <w:t>▲</w:t>
      </w:r>
      <w:bookmarkStart w:id="0" w:name="_GoBack"/>
      <w:bookmarkEnd w:id="0"/>
      <w:r>
        <w:rPr>
          <w:rFonts w:hint="eastAsia" w:ascii="仿宋" w:hAnsi="仿宋" w:eastAsia="仿宋" w:cs="宋体"/>
        </w:rPr>
        <w:t>（4）中标人每年须提供至少两次预防性保养；</w:t>
      </w:r>
    </w:p>
    <w:p>
      <w:pPr>
        <w:spacing w:line="440" w:lineRule="exact"/>
        <w:ind w:firstLine="480" w:firstLineChars="200"/>
        <w:rPr>
          <w:rFonts w:hint="eastAsia" w:ascii="仿宋" w:hAnsi="仿宋" w:eastAsia="仿宋" w:cs="宋体"/>
        </w:rPr>
      </w:pPr>
      <w:r>
        <w:rPr>
          <w:rFonts w:hint="eastAsia" w:ascii="仿宋" w:hAnsi="仿宋" w:eastAsia="仿宋" w:cs="宋体"/>
        </w:rPr>
        <w:t>（5）中标人须提供不限次数的维修保养工作；</w:t>
      </w:r>
    </w:p>
    <w:p>
      <w:pPr>
        <w:spacing w:line="440" w:lineRule="exact"/>
        <w:ind w:firstLine="480" w:firstLineChars="200"/>
        <w:rPr>
          <w:rFonts w:hint="eastAsia" w:ascii="仿宋" w:hAnsi="仿宋" w:eastAsia="仿宋" w:cs="宋体"/>
        </w:rPr>
      </w:pPr>
      <w:r>
        <w:rPr>
          <w:rFonts w:hint="eastAsia" w:ascii="仿宋" w:hAnsi="仿宋" w:eastAsia="仿宋" w:cs="宋体"/>
        </w:rPr>
        <w:t>（6）中标人为每次维修保养提供所需的所有零配件，费用由中标人承担。</w:t>
      </w:r>
    </w:p>
    <w:p/>
    <w:sectPr>
      <w:pgSz w:w="11906" w:h="16838"/>
      <w:pgMar w:top="850" w:right="1134" w:bottom="850" w:left="1134" w:header="851" w:footer="992" w:gutter="0"/>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ZGEwYjNlZGEzZjE0MzZjNzc4M2Q3M2RlMjNlOWIifQ=="/>
  </w:docVars>
  <w:rsids>
    <w:rsidRoot w:val="06FF68EE"/>
    <w:rsid w:val="06FF68EE"/>
    <w:rsid w:val="683D486B"/>
    <w:rsid w:val="722D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737</Words>
  <Characters>771</Characters>
  <Lines>0</Lines>
  <Paragraphs>0</Paragraphs>
  <TotalTime>0</TotalTime>
  <ScaleCrop>false</ScaleCrop>
  <LinksUpToDate>false</LinksUpToDate>
  <CharactersWithSpaces>771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2021-07-20T04:36:00Z</dcterms:created>
  <dc:creator>喔ノDarling </dc:creator>
  <cp:lastModifiedBy>WPS_1697423340</cp:lastModifiedBy>
  <dcterms:modified xsi:type="dcterms:W3CDTF">2024-06-19T06:57:31Z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F70848FF19204A1EA2076F6ABA1C8B10</vt:lpwstr>
  </property>
</Properties>
</file>